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9700A" w14:textId="50673D9E" w:rsidR="00F119A5" w:rsidRPr="00F119A5" w:rsidRDefault="00F119A5" w:rsidP="00F119A5">
      <w:pPr>
        <w:spacing w:line="360" w:lineRule="auto"/>
        <w:ind w:firstLine="0"/>
        <w:jc w:val="center"/>
        <w:rPr>
          <w:rFonts w:eastAsiaTheme="minorEastAsia" w:cstheme="majorBidi"/>
          <w:b/>
          <w:bCs/>
          <w:color w:val="auto"/>
          <w:sz w:val="28"/>
          <w:szCs w:val="28"/>
        </w:rPr>
      </w:pPr>
      <w:r w:rsidRPr="00F119A5">
        <w:rPr>
          <w:rFonts w:eastAsiaTheme="minorEastAsia" w:cstheme="majorBidi"/>
          <w:b/>
          <w:bCs/>
          <w:color w:val="auto"/>
          <w:sz w:val="28"/>
          <w:szCs w:val="28"/>
        </w:rPr>
        <w:t xml:space="preserve">Determination of </w:t>
      </w:r>
      <w:r w:rsidRPr="00F119A5">
        <w:rPr>
          <w:rFonts w:eastAsiaTheme="minorEastAsia" w:cstheme="majorBidi"/>
          <w:b/>
          <w:bCs/>
          <w:i/>
          <w:iCs/>
          <w:color w:val="auto"/>
          <w:sz w:val="28"/>
          <w:szCs w:val="28"/>
        </w:rPr>
        <w:t>A</w:t>
      </w:r>
      <w:r w:rsidRPr="00F119A5">
        <w:rPr>
          <w:rFonts w:eastAsiaTheme="minorEastAsia" w:cstheme="majorBidi"/>
          <w:b/>
          <w:bCs/>
          <w:color w:val="auto"/>
          <w:sz w:val="28"/>
          <w:szCs w:val="28"/>
        </w:rPr>
        <w:t xml:space="preserve"> and </w:t>
      </w:r>
      <w:r w:rsidRPr="00F119A5">
        <w:rPr>
          <w:rFonts w:eastAsiaTheme="minorEastAsia" w:cstheme="majorBidi"/>
          <w:b/>
          <w:bCs/>
          <w:i/>
          <w:iCs/>
          <w:color w:val="auto"/>
          <w:sz w:val="28"/>
          <w:szCs w:val="28"/>
        </w:rPr>
        <w:t>K</w:t>
      </w:r>
      <w:r w:rsidRPr="00F119A5">
        <w:rPr>
          <w:rFonts w:eastAsiaTheme="minorEastAsia" w:cstheme="majorBidi"/>
          <w:b/>
          <w:bCs/>
          <w:color w:val="auto"/>
          <w:sz w:val="28"/>
          <w:szCs w:val="28"/>
        </w:rPr>
        <w:t xml:space="preserve"> parameters for the calculation of the IPDT values</w:t>
      </w:r>
    </w:p>
    <w:p w14:paraId="798598F5" w14:textId="77777777" w:rsidR="00F119A5" w:rsidRPr="00F119A5" w:rsidRDefault="00F119A5" w:rsidP="00EA4B97">
      <w:pPr>
        <w:spacing w:line="360" w:lineRule="auto"/>
        <w:ind w:firstLine="0"/>
        <w:rPr>
          <w:rFonts w:eastAsiaTheme="minorEastAsia" w:cstheme="majorBidi"/>
          <w:color w:val="auto"/>
        </w:rPr>
      </w:pPr>
    </w:p>
    <w:p w14:paraId="4AAB46EA" w14:textId="298BF6BE" w:rsidR="00EA4B97" w:rsidRPr="00EA4B97" w:rsidRDefault="00EA4B97" w:rsidP="00EA4B97">
      <w:pPr>
        <w:spacing w:line="360" w:lineRule="auto"/>
        <w:ind w:firstLine="0"/>
        <w:rPr>
          <w:rFonts w:eastAsiaTheme="minorEastAsia"/>
          <w:color w:val="auto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auto"/>
            </w:rPr>
            <m:t>A=</m:t>
          </m:r>
          <m:f>
            <m:fPr>
              <m:ctrlPr>
                <w:rPr>
                  <w:rFonts w:ascii="Cambria Math" w:hAnsi="Cambria Math"/>
                  <w:iCs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Cs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Cs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Cs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Cs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Cs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color w:val="auto"/>
            </w:rPr>
            <m:t xml:space="preserve">                                                                                                                      </m:t>
          </m:r>
        </m:oMath>
      </m:oMathPara>
    </w:p>
    <w:p w14:paraId="5F28EAB0" w14:textId="77777777" w:rsidR="00EA4B97" w:rsidRPr="00EA4B97" w:rsidRDefault="00EA4B97" w:rsidP="00EA4B97">
      <w:pPr>
        <w:spacing w:line="360" w:lineRule="auto"/>
        <w:ind w:firstLine="0"/>
        <w:rPr>
          <w:rFonts w:eastAsiaTheme="minorEastAsia"/>
          <w:color w:val="auto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auto"/>
            </w:rPr>
            <m:t xml:space="preserve">  K=</m:t>
          </m:r>
          <m:f>
            <m:fPr>
              <m:ctrlPr>
                <w:rPr>
                  <w:rFonts w:ascii="Cambria Math" w:hAnsi="Cambria Math"/>
                  <w:iCs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Cs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Cs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Cs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color w:val="auto"/>
            </w:rPr>
            <m:t xml:space="preserve">                                                                                                                                  </m:t>
          </m:r>
        </m:oMath>
      </m:oMathPara>
    </w:p>
    <w:p w14:paraId="20C1F563" w14:textId="59F9B2F2" w:rsidR="0085296F" w:rsidRDefault="00EA4B97" w:rsidP="00EA4B97">
      <w:pPr>
        <w:spacing w:line="360" w:lineRule="auto"/>
        <w:ind w:firstLine="0"/>
        <w:rPr>
          <w:color w:val="auto"/>
        </w:rPr>
      </w:pPr>
      <w:r w:rsidRPr="00054932">
        <w:rPr>
          <w:color w:val="auto"/>
        </w:rPr>
        <w:t xml:space="preserve">where </w:t>
      </w:r>
      <w:r w:rsidRPr="00054932">
        <w:rPr>
          <w:i/>
          <w:iCs/>
          <w:color w:val="auto"/>
        </w:rPr>
        <w:t>T</w:t>
      </w:r>
      <w:r w:rsidRPr="00054932">
        <w:rPr>
          <w:color w:val="auto"/>
          <w:vertAlign w:val="subscript"/>
        </w:rPr>
        <w:t>i</w:t>
      </w:r>
      <w:r w:rsidRPr="00054932">
        <w:rPr>
          <w:color w:val="auto"/>
        </w:rPr>
        <w:t xml:space="preserve"> and </w:t>
      </w:r>
      <w:r w:rsidRPr="00054932">
        <w:rPr>
          <w:i/>
          <w:iCs/>
          <w:color w:val="auto"/>
        </w:rPr>
        <w:t>T</w:t>
      </w:r>
      <w:r w:rsidRPr="00054932">
        <w:rPr>
          <w:color w:val="auto"/>
          <w:vertAlign w:val="subscript"/>
        </w:rPr>
        <w:t>f</w:t>
      </w:r>
      <w:r w:rsidRPr="00054932">
        <w:rPr>
          <w:i/>
          <w:iCs/>
          <w:color w:val="auto"/>
        </w:rPr>
        <w:t xml:space="preserve"> </w:t>
      </w:r>
      <w:r w:rsidRPr="00054932">
        <w:rPr>
          <w:color w:val="auto"/>
        </w:rPr>
        <w:t xml:space="preserve">are the initial and final experimental temperatures of the TGA curve, respectively. Graphical representation of the areas </w:t>
      </w:r>
      <w:r w:rsidRPr="00054932">
        <w:rPr>
          <w:i/>
          <w:iCs/>
          <w:color w:val="auto"/>
        </w:rPr>
        <w:t>S</w:t>
      </w:r>
      <w:r w:rsidRPr="00054932">
        <w:rPr>
          <w:color w:val="auto"/>
          <w:vertAlign w:val="subscript"/>
        </w:rPr>
        <w:t>1</w:t>
      </w:r>
      <w:r w:rsidRPr="00054932">
        <w:rPr>
          <w:color w:val="auto"/>
        </w:rPr>
        <w:t xml:space="preserve">, </w:t>
      </w:r>
      <w:r w:rsidRPr="00054932">
        <w:rPr>
          <w:i/>
          <w:iCs/>
          <w:color w:val="auto"/>
        </w:rPr>
        <w:t>S</w:t>
      </w:r>
      <w:r w:rsidRPr="00054932">
        <w:rPr>
          <w:color w:val="auto"/>
          <w:vertAlign w:val="subscript"/>
        </w:rPr>
        <w:t>2,</w:t>
      </w:r>
      <w:r w:rsidRPr="00054932">
        <w:rPr>
          <w:color w:val="auto"/>
        </w:rPr>
        <w:t xml:space="preserve"> and </w:t>
      </w:r>
      <w:r w:rsidRPr="00054932">
        <w:rPr>
          <w:i/>
          <w:iCs/>
          <w:color w:val="auto"/>
        </w:rPr>
        <w:t>S</w:t>
      </w:r>
      <w:r w:rsidRPr="00054932">
        <w:rPr>
          <w:color w:val="auto"/>
          <w:vertAlign w:val="subscript"/>
        </w:rPr>
        <w:t>3</w:t>
      </w:r>
      <w:r w:rsidRPr="00054932">
        <w:rPr>
          <w:color w:val="auto"/>
        </w:rPr>
        <w:t xml:space="preserve"> is depicted in the </w:t>
      </w:r>
      <w:r>
        <w:rPr>
          <w:color w:val="auto"/>
        </w:rPr>
        <w:t>following figure.</w:t>
      </w:r>
    </w:p>
    <w:p w14:paraId="5B52C7E7" w14:textId="277FFB05" w:rsidR="00EA4B97" w:rsidRPr="00EA4B97" w:rsidRDefault="00767B31" w:rsidP="00EA4B97">
      <w:pPr>
        <w:spacing w:line="360" w:lineRule="auto"/>
        <w:ind w:firstLine="0"/>
        <w:rPr>
          <w:rFonts w:eastAsiaTheme="minorEastAsia"/>
        </w:rPr>
      </w:pPr>
      <w:r>
        <w:rPr>
          <w:noProof/>
        </w:rPr>
        <w:drawing>
          <wp:inline distT="0" distB="0" distL="0" distR="0" wp14:anchorId="67A3F07E" wp14:editId="1961C3DE">
            <wp:extent cx="5943600" cy="4693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4B97" w:rsidRPr="00EA4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IyNDQ1NjY3NTMzNDRQ0lEKTi0uzszPAykwrgUASoT5xCwAAAA="/>
  </w:docVars>
  <w:rsids>
    <w:rsidRoot w:val="00EA4B97"/>
    <w:rsid w:val="002F605F"/>
    <w:rsid w:val="00767B31"/>
    <w:rsid w:val="00793EDE"/>
    <w:rsid w:val="0085296F"/>
    <w:rsid w:val="00EA4B97"/>
    <w:rsid w:val="00F1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ABE3"/>
  <w15:chartTrackingRefBased/>
  <w15:docId w15:val="{08356BB7-9AAE-45A7-9B2C-AB1858DE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B97"/>
    <w:pPr>
      <w:ind w:firstLine="720"/>
      <w:jc w:val="both"/>
    </w:pPr>
    <w:rPr>
      <w:rFonts w:cs="Times New Roman"/>
      <w:color w:val="221E1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moah kjkjdf</dc:creator>
  <cp:keywords/>
  <dc:description/>
  <cp:lastModifiedBy>moah kjkjdf</cp:lastModifiedBy>
  <cp:revision>3</cp:revision>
  <dcterms:created xsi:type="dcterms:W3CDTF">2020-08-18T08:05:00Z</dcterms:created>
  <dcterms:modified xsi:type="dcterms:W3CDTF">2021-03-07T17:51:00Z</dcterms:modified>
</cp:coreProperties>
</file>