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26" w:rsidRDefault="00F71F26" w:rsidP="00383854">
      <w:pPr>
        <w:pStyle w:val="BasicParagraph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Egypt. J. Chem. </w:t>
      </w:r>
      <w:r>
        <w:rPr>
          <w:b/>
          <w:bCs/>
          <w:sz w:val="18"/>
          <w:szCs w:val="18"/>
        </w:rPr>
        <w:t>Vol. 67</w:t>
      </w:r>
      <w:r>
        <w:rPr>
          <w:sz w:val="18"/>
          <w:szCs w:val="18"/>
        </w:rPr>
        <w:t xml:space="preserve">, No. 11 pp. 71 - </w:t>
      </w:r>
      <w:r w:rsidR="00383854">
        <w:rPr>
          <w:sz w:val="18"/>
          <w:szCs w:val="18"/>
        </w:rPr>
        <w:t>81</w:t>
      </w:r>
      <w:bookmarkStart w:id="0" w:name="_GoBack"/>
      <w:bookmarkEnd w:id="0"/>
      <w:r>
        <w:rPr>
          <w:sz w:val="18"/>
          <w:szCs w:val="18"/>
        </w:rPr>
        <w:t xml:space="preserve"> (2024)</w:t>
      </w:r>
    </w:p>
    <w:p w:rsidR="006D560B" w:rsidRDefault="006D560B" w:rsidP="00F71F26">
      <w:pPr>
        <w:tabs>
          <w:tab w:val="left" w:pos="1712"/>
        </w:tabs>
      </w:pPr>
    </w:p>
    <w:p w:rsidR="00F71F26" w:rsidRDefault="00F71F26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Hlk160475474"/>
      <w:r w:rsidRPr="007F784D">
        <w:rPr>
          <w:rFonts w:asciiTheme="majorBidi" w:hAnsiTheme="majorBidi" w:cstheme="majorBidi"/>
          <w:b/>
          <w:bCs/>
          <w:sz w:val="24"/>
          <w:szCs w:val="24"/>
        </w:rPr>
        <w:t>Assessing TGF β1 Gene Expression as a Prognostic Marker for Hepatocellular Carcinoma Development in HCV patients receiving Direct-Acting Antiviral (DAAs) Therapy</w:t>
      </w:r>
      <w:bookmarkEnd w:id="1"/>
    </w:p>
    <w:p w:rsidR="00F71F26" w:rsidRPr="00F94362" w:rsidRDefault="00F71F26" w:rsidP="00F71F26">
      <w:pPr>
        <w:jc w:val="center"/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</w:pPr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Samar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>Ebrahim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Ghanem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</w:rPr>
        <w:t>1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, 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Ibrahim El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Tantawy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 El Sayed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lang w:bidi="ar-EG"/>
        </w:rPr>
        <w:t>2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, Ashraf A Basuni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lang w:bidi="ar-EG"/>
        </w:rPr>
        <w:t>1*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, Dalia El Sabaawy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lang w:bidi="ar-EG"/>
        </w:rPr>
        <w:t>3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,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Abd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 El-Hamid A. Ismail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lang w:bidi="ar-EG"/>
        </w:rPr>
        <w:t>4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,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Rofaida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 Mohamed Elhawary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lang w:bidi="ar-EG"/>
        </w:rPr>
        <w:t>2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,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>Nashwa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>Abuel-Fetuh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</w:rPr>
        <w:t>Shebl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rtl/>
        </w:rPr>
        <w:t>5</w:t>
      </w:r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,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Warda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 Othman </w:t>
      </w:r>
      <w:proofErr w:type="spellStart"/>
      <w:r w:rsidRPr="00F94362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Saad</w:t>
      </w:r>
      <w:proofErr w:type="spellEnd"/>
      <w:r w:rsidRPr="00F94362">
        <w:rPr>
          <w:rFonts w:asciiTheme="majorBidi" w:eastAsia="Calibri" w:hAnsiTheme="majorBidi" w:cstheme="majorBidi"/>
          <w:b/>
          <w:bCs/>
          <w:sz w:val="20"/>
          <w:szCs w:val="20"/>
          <w:vertAlign w:val="superscript"/>
          <w:rtl/>
          <w:lang w:bidi="ar-EG"/>
        </w:rPr>
        <w:t>5</w:t>
      </w:r>
    </w:p>
    <w:p w:rsidR="00F71F26" w:rsidRPr="00F94362" w:rsidRDefault="00F71F26" w:rsidP="00F71F26">
      <w:pPr>
        <w:tabs>
          <w:tab w:val="left" w:pos="1520"/>
          <w:tab w:val="left" w:pos="1600"/>
        </w:tabs>
        <w:spacing w:line="180" w:lineRule="atLeast"/>
        <w:ind w:left="14" w:right="-562"/>
        <w:jc w:val="center"/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</w:pPr>
      <w:r w:rsidRPr="00F94362">
        <w:rPr>
          <w:rFonts w:asciiTheme="majorBidi" w:eastAsia="Calibri" w:hAnsiTheme="majorBidi" w:cstheme="majorBidi"/>
          <w:i/>
          <w:iCs/>
          <w:sz w:val="20"/>
          <w:szCs w:val="20"/>
          <w:vertAlign w:val="superscript"/>
          <w:lang w:bidi="ar-EG"/>
        </w:rPr>
        <w:t>1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Department of Clinical Biochemistry and Molecular Diagnostics, National Liver Institute, </w:t>
      </w:r>
      <w:proofErr w:type="spellStart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>Menoufia</w:t>
      </w:r>
      <w:proofErr w:type="spellEnd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University 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vertAlign w:val="superscript"/>
          <w:lang w:bidi="ar-EG"/>
        </w:rPr>
        <w:t>2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Chemistry Department, Faculty of Science, </w:t>
      </w:r>
      <w:proofErr w:type="spellStart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>Menoufia</w:t>
      </w:r>
      <w:proofErr w:type="spellEnd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University</w:t>
      </w:r>
      <w:bookmarkStart w:id="2" w:name="_Hlk80198138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                                                                         </w:t>
      </w:r>
      <w:r w:rsidRPr="00F94362">
        <w:rPr>
          <w:rFonts w:asciiTheme="majorBidi" w:eastAsia="Osaka" w:hAnsiTheme="majorBidi" w:cstheme="majorBidi"/>
          <w:i/>
          <w:iCs/>
          <w:color w:val="000000"/>
          <w:sz w:val="20"/>
          <w:szCs w:val="20"/>
          <w:vertAlign w:val="superscript"/>
        </w:rPr>
        <w:t>3</w:t>
      </w:r>
      <w:r w:rsidRPr="00F94362">
        <w:rPr>
          <w:rFonts w:asciiTheme="majorBidi" w:eastAsia="Osaka" w:hAnsiTheme="majorBidi" w:cstheme="majorBidi"/>
          <w:i/>
          <w:iCs/>
          <w:color w:val="000000"/>
          <w:sz w:val="20"/>
          <w:szCs w:val="20"/>
        </w:rPr>
        <w:t>Department of</w:t>
      </w:r>
      <w:bookmarkEnd w:id="2"/>
      <w:r w:rsidRPr="00F94362">
        <w:rPr>
          <w:rFonts w:asciiTheme="majorBidi" w:eastAsia="Osaka" w:hAnsiTheme="majorBidi" w:cstheme="majorBidi"/>
          <w:i/>
          <w:iCs/>
          <w:color w:val="000000"/>
          <w:sz w:val="20"/>
          <w:szCs w:val="20"/>
        </w:rPr>
        <w:t xml:space="preserve"> Clinical Pharmacy, Faculty of Pharmacy, </w:t>
      </w:r>
      <w:proofErr w:type="spellStart"/>
      <w:r w:rsidRPr="00F94362">
        <w:rPr>
          <w:rFonts w:asciiTheme="majorBidi" w:eastAsia="Osaka" w:hAnsiTheme="majorBidi" w:cstheme="majorBidi"/>
          <w:i/>
          <w:iCs/>
          <w:color w:val="000000"/>
          <w:sz w:val="20"/>
          <w:szCs w:val="20"/>
        </w:rPr>
        <w:t>Menoufia</w:t>
      </w:r>
      <w:proofErr w:type="spellEnd"/>
      <w:r w:rsidRPr="00F94362">
        <w:rPr>
          <w:rFonts w:asciiTheme="majorBidi" w:eastAsia="Osaka" w:hAnsiTheme="majorBidi" w:cstheme="majorBidi"/>
          <w:i/>
          <w:iCs/>
          <w:color w:val="000000"/>
          <w:sz w:val="20"/>
          <w:szCs w:val="20"/>
        </w:rPr>
        <w:t xml:space="preserve"> </w:t>
      </w:r>
      <w:bookmarkStart w:id="3" w:name="_Hlk80198171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>University</w:t>
      </w:r>
      <w:bookmarkEnd w:id="3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                                                   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vertAlign w:val="superscript"/>
          <w:rtl/>
          <w:lang w:bidi="ar-EG"/>
        </w:rPr>
        <w:t>4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Department of Organic Chemistry, Faculty of Science, </w:t>
      </w:r>
      <w:proofErr w:type="spellStart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>Menoufia</w:t>
      </w:r>
      <w:proofErr w:type="spellEnd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University                                                        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vertAlign w:val="superscript"/>
          <w:lang w:bidi="ar-EG"/>
        </w:rPr>
        <w:t>5</w:t>
      </w:r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Hepatology and Gastroenterology department, National Liver Institute, </w:t>
      </w:r>
      <w:proofErr w:type="spellStart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>Menoufia</w:t>
      </w:r>
      <w:proofErr w:type="spellEnd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 xml:space="preserve"> </w:t>
      </w:r>
      <w:bookmarkStart w:id="4" w:name="_Hlk80001519"/>
      <w:r w:rsidRPr="00F94362">
        <w:rPr>
          <w:rFonts w:asciiTheme="majorBidi" w:eastAsia="Calibri" w:hAnsiTheme="majorBidi" w:cstheme="majorBidi"/>
          <w:i/>
          <w:iCs/>
          <w:sz w:val="20"/>
          <w:szCs w:val="20"/>
          <w:lang w:bidi="ar-EG"/>
        </w:rPr>
        <w:t>University</w:t>
      </w:r>
      <w:bookmarkEnd w:id="4"/>
    </w:p>
    <w:p w:rsidR="00F71F26" w:rsidRDefault="00F71F26"/>
    <w:p w:rsidR="00F94362" w:rsidRDefault="00F94362" w:rsidP="00D51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362">
        <w:rPr>
          <w:rFonts w:ascii="Times New Roman" w:hAnsi="Times New Roman" w:cs="Times New Roman"/>
          <w:b/>
          <w:bCs/>
          <w:sz w:val="24"/>
          <w:szCs w:val="24"/>
        </w:rPr>
        <w:t>Supporting information</w:t>
      </w: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E27" w:rsidRPr="003E45F3" w:rsidRDefault="00D51E27" w:rsidP="00D51E27">
      <w:pPr>
        <w:jc w:val="both"/>
        <w:rPr>
          <w:rFonts w:asciiTheme="majorBidi" w:eastAsia="Calibri" w:hAnsiTheme="majorBidi" w:cstheme="majorBidi"/>
          <w:b/>
          <w:bCs/>
        </w:rPr>
      </w:pPr>
      <w:r w:rsidRPr="003E45F3">
        <w:rPr>
          <w:rFonts w:asciiTheme="majorBidi" w:eastAsia="Calibri" w:hAnsiTheme="majorBidi" w:cstheme="majorBidi"/>
          <w:b/>
          <w:bCs/>
        </w:rPr>
        <w:lastRenderedPageBreak/>
        <w:t>Supplementary table 1. Comparison among the different groups regarding laboratory results</w:t>
      </w:r>
      <w:r w:rsidRPr="003E45F3">
        <w:rPr>
          <w:rFonts w:asciiTheme="majorBidi" w:eastAsia="Calibri" w:hAnsiTheme="majorBidi" w:cstheme="majorBidi"/>
        </w:rPr>
        <w:t xml:space="preserve">  </w:t>
      </w:r>
    </w:p>
    <w:tbl>
      <w:tblPr>
        <w:tblStyle w:val="TableGrid"/>
        <w:tblW w:w="1020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851"/>
        <w:gridCol w:w="851"/>
      </w:tblGrid>
      <w:tr w:rsidR="00D51E27" w:rsidRPr="003E45F3" w:rsidTr="009B3243">
        <w:trPr>
          <w:trHeight w:val="521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De-novo HCC</w:t>
            </w:r>
            <w:r w:rsidRPr="003E45F3">
              <w:rPr>
                <w:rFonts w:asciiTheme="majorBidi" w:hAnsiTheme="majorBidi" w:cstheme="majorBidi"/>
              </w:rPr>
              <w:br/>
              <w:t>(n = 70)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Post-DAAs HCC</w:t>
            </w:r>
            <w:r w:rsidRPr="003E45F3">
              <w:rPr>
                <w:rFonts w:asciiTheme="majorBidi" w:hAnsiTheme="majorBidi" w:cstheme="majorBidi"/>
              </w:rPr>
              <w:br/>
              <w:t>(n = 50)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eastAsia="Calibri" w:hAnsiTheme="majorBidi" w:cstheme="majorBidi"/>
              </w:rPr>
              <w:t>DAAs treated HCV</w:t>
            </w:r>
            <w:r w:rsidRPr="003E45F3">
              <w:rPr>
                <w:rFonts w:asciiTheme="majorBidi" w:hAnsiTheme="majorBidi" w:cstheme="majorBidi"/>
              </w:rPr>
              <w:br/>
              <w:t>(n = 60)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Control</w:t>
            </w:r>
            <w:r w:rsidRPr="003E45F3">
              <w:rPr>
                <w:rFonts w:asciiTheme="majorBidi" w:hAnsiTheme="majorBidi" w:cstheme="majorBidi"/>
              </w:rPr>
              <w:br/>
              <w:t>(n = 40)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Test of sig.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 value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ALT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12.0 – 168.0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10.0 – 66.0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14.0 – 114.0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10.0 – 23.0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95.839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63.10 ± 37.43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27.84 ± 13.40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35.65 ± 19.49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16.38 ± 3.66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55.0 (28.0 – 85.0)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23.0 (18.0 – 35.0)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33.0 (22.0 – 41.0)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17.0 (13.0 – 19.0)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=0.035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AST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15.0 – 149.0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14.0 – 80.0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18.0 – 86.0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10.0 – 23.0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96.785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63.33 ± 35.77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36.28 ± 17.41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34.62 ± 14.96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16.60 ± 3.81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57.50 (33.0 – 84.0)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35.50 (23.0 – 46.0)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31.50 (24.0 – 38.0)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17.0 (13.0 – 20.0)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=0.984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T.B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0.50 – 3.20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0.30 – 3.90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0.30 – 1.50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0.30 – 0.60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95.589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1.14 ± 0.62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1.11 ± 0.77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0.61 ± 0.27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0.42 ± 0.08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0.93 (0.70 – 1.40)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0.90 (0.70 – 1.40)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0.60 (0.40 – 0.70)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0.40 (0.40 – 0.50)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=0.277,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D.B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0.10 – 1.20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0.10 – 2.20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0.17 – 0.80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0.17 – 0.40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37.228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0.50 ± 0.29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0.47 ± 0.51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0.36 ± 0.15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0.23 ± 0.06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0.40 (0.30 – 0.70)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0.30 (0.20 – 0.50)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0.30 (0.23 – 0.40)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0.20 (0.19 – 0.30)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0.010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=0.054,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=0.475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ALB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2.40 – 5.0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2.30 – 4.70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3.80 – 5.20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4.0 – 5.50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F=</w:t>
            </w:r>
            <w:r w:rsidRPr="003E45F3">
              <w:rPr>
                <w:rFonts w:asciiTheme="majorBidi" w:hAnsiTheme="majorBidi" w:cstheme="majorBidi"/>
              </w:rPr>
              <w:br/>
              <w:t>44.047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3.71 ± 0.58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3.63 ± 0.61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4.35 ± 0.29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4.60 ± 0.50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3.75 (3.40 – 4.10)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3.65 (3.20 – 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4.30 (4.20 – 4.50)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4.50 (4.0 – 5.0)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=0.785,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AFP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15.0 – 20010.0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8.0 – 7441.0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– 20.0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2.0 – 10.0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126.642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trHeight w:val="7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604.13 ± 3351.38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277.30 ± 1214.90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11.52 ± 6.27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5.90 ± 2.32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24.10 (15.90 – 29.0)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14.0(10.0 – 16)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10.70 (9.0 – 17.75)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6.0 (4.50 – 8.0)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=0.336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55.10 – 100.0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55.0 – 100.0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55.0 – 100.0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85.0 – 100.0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34.189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77.65 ± 11.19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78.31 ± 14.69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78.37 ± 14.86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91.25 ± 4.49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78.0 (69.0 – 85.0)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77.50 (65.0 – 90.0)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77.50(65.0 – 91.5)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91.0(88.0 – 93.50)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=0.557,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=0.529,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=0.094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INR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0.90 – 1.60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– 1.50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–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– 1.23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H=</w:t>
            </w:r>
            <w:r w:rsidRPr="003E45F3">
              <w:rPr>
                <w:rFonts w:asciiTheme="majorBidi" w:hAnsiTheme="majorBidi" w:cstheme="majorBidi"/>
              </w:rPr>
              <w:br/>
              <w:t>36.705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bidi/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1.10 ± 0.16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1.16 ± 0.13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1.09 ± 0.26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1.04 ± 0.08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(1.0 – 1.17)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1.10 (1.10 – 1.20)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(1.0 – 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 (1.0 – 1.0)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0.039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0.790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=0.044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rPr>
                <w:rFonts w:asciiTheme="majorBidi" w:hAnsiTheme="majorBidi" w:cstheme="majorBidi"/>
              </w:rPr>
            </w:pPr>
            <w:proofErr w:type="spellStart"/>
            <w:r w:rsidRPr="003E45F3">
              <w:rPr>
                <w:rFonts w:asciiTheme="majorBidi" w:hAnsiTheme="majorBidi" w:cstheme="majorBidi"/>
              </w:rPr>
              <w:t>Creatinine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Min. – Max.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0.40 – 1.70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0.50 – 1.20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0.0 – 1.40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0.50 – 1.0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21.061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Mean ± SD.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0.84 ± 0.27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0.90 ± 0.19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0.91 ± 0.24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0.74 ± 0.18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ind w:left="284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0.80(0.6 – 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0.90(0.8 – 1.1)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1.0(0.9 – 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0.70(0.6 – 0.95)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0.042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&lt;0.001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51E27" w:rsidRPr="003E45F3" w:rsidTr="009B3243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  <w:r w:rsidRPr="003E45F3">
              <w:rPr>
                <w:rFonts w:asciiTheme="majorBidi" w:hAnsiTheme="majorBidi" w:cstheme="majorBidi"/>
              </w:rPr>
              <w:t>Sig. bet. groups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E45F3">
              <w:rPr>
                <w:rFonts w:asciiTheme="majorBidi" w:hAnsiTheme="majorBidi" w:cstheme="majorBidi"/>
              </w:rPr>
              <w:t>p</w:t>
            </w:r>
            <w:r w:rsidRPr="003E45F3">
              <w:rPr>
                <w:rFonts w:asciiTheme="majorBidi" w:hAnsiTheme="majorBidi" w:cstheme="majorBidi"/>
                <w:vertAlign w:val="subscript"/>
              </w:rPr>
              <w:t>2</w:t>
            </w:r>
            <w:r w:rsidRPr="003E45F3">
              <w:rPr>
                <w:rFonts w:asciiTheme="majorBidi" w:hAnsiTheme="majorBidi" w:cstheme="majorBidi"/>
              </w:rPr>
              <w:t>=0.053,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3</w:t>
            </w:r>
            <w:r w:rsidRPr="003E45F3">
              <w:rPr>
                <w:rFonts w:asciiTheme="majorBidi" w:hAnsiTheme="majorBidi" w:cstheme="majorBidi"/>
              </w:rPr>
              <w:t>=0.012</w:t>
            </w:r>
            <w:r w:rsidRPr="003E45F3">
              <w:rPr>
                <w:rFonts w:asciiTheme="majorBidi" w:hAnsiTheme="majorBidi" w:cstheme="majorBidi"/>
                <w:vertAlign w:val="superscript"/>
              </w:rPr>
              <w:t>*</w:t>
            </w:r>
            <w:r w:rsidRPr="003E45F3">
              <w:rPr>
                <w:rFonts w:asciiTheme="majorBidi" w:hAnsiTheme="majorBidi" w:cstheme="majorBidi"/>
              </w:rPr>
              <w:t>, p</w:t>
            </w:r>
            <w:r w:rsidRPr="003E45F3">
              <w:rPr>
                <w:rFonts w:asciiTheme="majorBidi" w:hAnsiTheme="majorBidi" w:cstheme="majorBidi"/>
                <w:vertAlign w:val="subscript"/>
              </w:rPr>
              <w:t>4</w:t>
            </w:r>
            <w:r w:rsidRPr="003E45F3">
              <w:rPr>
                <w:rFonts w:asciiTheme="majorBidi" w:hAnsiTheme="majorBidi" w:cstheme="majorBidi"/>
              </w:rPr>
              <w:t>0.651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1E27" w:rsidRPr="003E45F3" w:rsidRDefault="00D51E27" w:rsidP="009B3243">
            <w:pPr>
              <w:spacing w:line="192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51E27" w:rsidRPr="00D51E27" w:rsidRDefault="00D51E27" w:rsidP="00D51E27">
      <w:pPr>
        <w:spacing w:after="0" w:line="240" w:lineRule="auto"/>
      </w:pPr>
      <w:bookmarkStart w:id="5" w:name="_Hlk160471272"/>
      <w:r w:rsidRPr="003E45F3">
        <w:rPr>
          <w:rFonts w:asciiTheme="majorBidi" w:hAnsiTheme="majorBidi" w:cstheme="majorBidi"/>
        </w:rPr>
        <w:t>SD: Standard deviation</w:t>
      </w:r>
      <w:r w:rsidRPr="003E45F3">
        <w:rPr>
          <w:rFonts w:asciiTheme="majorBidi" w:hAnsiTheme="majorBidi" w:cstheme="majorBidi"/>
        </w:rPr>
        <w:tab/>
      </w:r>
      <w:r w:rsidRPr="003E45F3">
        <w:rPr>
          <w:rFonts w:asciiTheme="majorBidi" w:hAnsiTheme="majorBidi" w:cstheme="majorBidi"/>
        </w:rPr>
        <w:tab/>
        <w:t xml:space="preserve">               IQR: Inter quartile range                    H: H for </w:t>
      </w:r>
      <w:proofErr w:type="spellStart"/>
      <w:r w:rsidRPr="003E45F3">
        <w:rPr>
          <w:rFonts w:asciiTheme="majorBidi" w:hAnsiTheme="majorBidi" w:cstheme="majorBidi"/>
        </w:rPr>
        <w:t>Kruskal</w:t>
      </w:r>
      <w:proofErr w:type="spellEnd"/>
      <w:r w:rsidRPr="003E45F3">
        <w:rPr>
          <w:rFonts w:asciiTheme="majorBidi" w:hAnsiTheme="majorBidi" w:cstheme="majorBidi"/>
        </w:rPr>
        <w:t xml:space="preserve"> Wallis test</w:t>
      </w:r>
      <w:r w:rsidRPr="003E45F3">
        <w:rPr>
          <w:rFonts w:asciiTheme="majorBidi" w:hAnsiTheme="majorBidi" w:cstheme="majorBidi"/>
          <w:b/>
          <w:bCs/>
        </w:rPr>
        <w:t xml:space="preserve">        </w:t>
      </w:r>
      <w:r w:rsidRPr="003E45F3">
        <w:rPr>
          <w:rFonts w:asciiTheme="majorBidi" w:hAnsiTheme="majorBidi" w:cstheme="majorBidi"/>
        </w:rPr>
        <w:t>p: p value between the studied groups                                                                                                                             p</w:t>
      </w:r>
      <w:r w:rsidRPr="003E45F3">
        <w:rPr>
          <w:rFonts w:asciiTheme="majorBidi" w:hAnsiTheme="majorBidi" w:cstheme="majorBidi"/>
          <w:vertAlign w:val="subscript"/>
        </w:rPr>
        <w:t>1</w:t>
      </w:r>
      <w:r w:rsidRPr="003E45F3">
        <w:rPr>
          <w:rFonts w:asciiTheme="majorBidi" w:hAnsiTheme="majorBidi" w:cstheme="majorBidi"/>
        </w:rPr>
        <w:t xml:space="preserve">: between control and each other groups  </w:t>
      </w:r>
      <w:r w:rsidRPr="003E45F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</w:t>
      </w:r>
      <w:r w:rsidRPr="003E45F3">
        <w:rPr>
          <w:rFonts w:asciiTheme="majorBidi" w:hAnsiTheme="majorBidi" w:cstheme="majorBidi"/>
        </w:rPr>
        <w:t>p</w:t>
      </w:r>
      <w:r w:rsidRPr="003E45F3">
        <w:rPr>
          <w:rFonts w:asciiTheme="majorBidi" w:hAnsiTheme="majorBidi" w:cstheme="majorBidi"/>
          <w:vertAlign w:val="subscript"/>
        </w:rPr>
        <w:t>2</w:t>
      </w:r>
      <w:r w:rsidRPr="003E45F3">
        <w:rPr>
          <w:rFonts w:asciiTheme="majorBidi" w:hAnsiTheme="majorBidi" w:cstheme="majorBidi"/>
        </w:rPr>
        <w:t>: between de-novo HCC and post-DAAs HCC</w:t>
      </w:r>
      <w:r w:rsidRPr="003E45F3">
        <w:rPr>
          <w:rFonts w:asciiTheme="majorBidi" w:hAnsiTheme="majorBidi" w:cstheme="majorBidi"/>
          <w:b/>
          <w:bCs/>
        </w:rPr>
        <w:t xml:space="preserve"> (</w:t>
      </w:r>
      <w:r w:rsidRPr="003E45F3">
        <w:rPr>
          <w:rFonts w:asciiTheme="majorBidi" w:hAnsiTheme="majorBidi" w:cstheme="majorBidi"/>
        </w:rPr>
        <w:t>G1 &amp; G2)                                                                                       p</w:t>
      </w:r>
      <w:r w:rsidRPr="003E45F3">
        <w:rPr>
          <w:rFonts w:asciiTheme="majorBidi" w:hAnsiTheme="majorBidi" w:cstheme="majorBidi"/>
          <w:vertAlign w:val="subscript"/>
        </w:rPr>
        <w:t>3</w:t>
      </w:r>
      <w:r w:rsidRPr="003E45F3">
        <w:rPr>
          <w:rFonts w:asciiTheme="majorBidi" w:hAnsiTheme="majorBidi" w:cstheme="majorBidi"/>
        </w:rPr>
        <w:t>: between de-novo HCC and DAAs treated HCV (G1 &amp; G3)                                                                                   p</w:t>
      </w:r>
      <w:r w:rsidRPr="003E45F3">
        <w:rPr>
          <w:rFonts w:asciiTheme="majorBidi" w:hAnsiTheme="majorBidi" w:cstheme="majorBidi"/>
          <w:vertAlign w:val="subscript"/>
        </w:rPr>
        <w:t>4</w:t>
      </w:r>
      <w:r w:rsidRPr="003E45F3">
        <w:rPr>
          <w:rFonts w:asciiTheme="majorBidi" w:hAnsiTheme="majorBidi" w:cstheme="majorBidi"/>
        </w:rPr>
        <w:t>: between post-DAAs HCC and DAAs treated HCV (G2 &amp; G3)</w:t>
      </w:r>
      <w:r>
        <w:rPr>
          <w:rFonts w:asciiTheme="majorBidi" w:hAnsiTheme="majorBidi" w:cstheme="majorBidi"/>
          <w:b/>
          <w:bCs/>
        </w:rPr>
        <w:t xml:space="preserve">                 </w:t>
      </w:r>
      <w:r w:rsidRPr="003E45F3">
        <w:rPr>
          <w:rFonts w:asciiTheme="majorBidi" w:hAnsiTheme="majorBidi" w:cstheme="majorBidi"/>
        </w:rPr>
        <w:t>*: Statistically significant</w:t>
      </w:r>
      <w:r w:rsidRPr="006914D3">
        <w:rPr>
          <w:rFonts w:asciiTheme="majorBidi" w:hAnsiTheme="majorBidi" w:cstheme="majorBidi"/>
        </w:rPr>
        <w:t xml:space="preserve">  </w:t>
      </w:r>
      <w:bookmarkEnd w:id="5"/>
    </w:p>
    <w:p w:rsidR="00D51E27" w:rsidRPr="00F94362" w:rsidRDefault="00D51E2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1E27" w:rsidRPr="00F9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MS Gothic"/>
    <w:charset w:val="80"/>
    <w:family w:val="auto"/>
    <w:pitch w:val="variable"/>
    <w:sig w:usb0="00000001" w:usb1="08070000" w:usb2="00000010" w:usb3="00000000" w:csb0="0002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26"/>
    <w:rsid w:val="00383854"/>
    <w:rsid w:val="006D560B"/>
    <w:rsid w:val="00D51E27"/>
    <w:rsid w:val="00F71F26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1F26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5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1F26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5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Abdel-Gawad Hassan</dc:creator>
  <cp:lastModifiedBy>Hassan Abdel-Gawad Hassan</cp:lastModifiedBy>
  <cp:revision>4</cp:revision>
  <dcterms:created xsi:type="dcterms:W3CDTF">2024-09-04T12:02:00Z</dcterms:created>
  <dcterms:modified xsi:type="dcterms:W3CDTF">2024-09-05T11:01:00Z</dcterms:modified>
</cp:coreProperties>
</file>